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Manutenzione ordinaria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di interventi edilizi che riguardano le opere di riparazione, rinnovamento sostituzione delle finiture degli edifici e quelli necessari ad integrare o mantenere in efficienza gli impianti tecnologici esistenti.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380/2001 - Legge regionale - Regolamento Edilizio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190E41" w:rsidRDefault="00FC077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FC0778">
              <w:rPr>
                <w:rFonts w:ascii="Arial" w:hAnsi="Arial"/>
                <w:color w:val="000000"/>
              </w:rPr>
              <w:t>Barani</w:t>
            </w:r>
            <w:proofErr w:type="spellEnd"/>
            <w:r w:rsidR="00FC0778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Modulo per la presentazione dell'istanza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LINK 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t>xxx giorni, in conformita' al Regolamento sull'attivita' e i procedim</w:t>
            </w:r>
            <w:r>
              <w:rPr>
                <w:rFonts w:ascii="Arial" w:hAnsi="Arial"/>
              </w:rPr>
              <w:t>enti amministrativi</w:t>
            </w:r>
          </w:p>
          <w:p w:rsidR="00190E41" w:rsidRDefault="00FC0778">
            <w:pPr>
              <w:jc w:val="both"/>
            </w:pPr>
            <w:r>
              <w:rPr>
                <w:rFonts w:ascii="Arial" w:hAnsi="Arial"/>
              </w:rPr>
              <w:lastRenderedPageBreak/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C0778" w:rsidP="00FC077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0E41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C0778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2026-06-13T08:07:00Z</dcterms:modified>
</cp:coreProperties>
</file>